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18238" w14:textId="77777777" w:rsidR="00841008" w:rsidRDefault="00841008" w:rsidP="00841008">
      <w:pPr>
        <w:jc w:val="center"/>
        <w:rPr>
          <w:b/>
          <w:bCs/>
          <w:sz w:val="32"/>
          <w:szCs w:val="32"/>
        </w:rPr>
      </w:pPr>
      <w:r w:rsidRPr="00157E6E">
        <w:rPr>
          <w:b/>
          <w:bCs/>
          <w:sz w:val="32"/>
          <w:szCs w:val="32"/>
        </w:rPr>
        <w:t>Density Bonus</w:t>
      </w:r>
    </w:p>
    <w:p w14:paraId="7B350704" w14:textId="77777777" w:rsidR="009E36C1" w:rsidRDefault="009E36C1" w:rsidP="00841008">
      <w:pPr>
        <w:jc w:val="center"/>
        <w:rPr>
          <w:b/>
          <w:bCs/>
          <w:sz w:val="32"/>
          <w:szCs w:val="32"/>
        </w:rPr>
      </w:pPr>
    </w:p>
    <w:p w14:paraId="64E5BACC" w14:textId="77777777" w:rsidR="009E36C1" w:rsidRDefault="009E36C1" w:rsidP="009E36C1">
      <w:pPr>
        <w:pStyle w:val="Default"/>
      </w:pPr>
    </w:p>
    <w:p w14:paraId="0CEDF190" w14:textId="2EF6A3A6" w:rsidR="009E36C1" w:rsidRPr="009E36C1" w:rsidRDefault="009E36C1" w:rsidP="009E36C1">
      <w:pPr>
        <w:pStyle w:val="Default"/>
        <w:rPr>
          <w:rStyle w:val="A3"/>
          <w:rFonts w:ascii="Arial" w:hAnsi="Arial" w:cs="Arial"/>
          <w:i/>
          <w:iCs/>
        </w:rPr>
      </w:pPr>
      <w:r w:rsidRPr="009E36C1">
        <w:rPr>
          <w:rStyle w:val="A3"/>
          <w:rFonts w:ascii="Arial" w:hAnsi="Arial" w:cs="Arial"/>
          <w:i/>
          <w:iCs/>
        </w:rPr>
        <w:t>The Density Bonus is a state mandate</w:t>
      </w:r>
      <w:r w:rsidR="0080551D">
        <w:rPr>
          <w:rStyle w:val="A3"/>
          <w:rFonts w:ascii="Arial" w:hAnsi="Arial" w:cs="Arial"/>
          <w:i/>
          <w:iCs/>
        </w:rPr>
        <w:t xml:space="preserve"> and </w:t>
      </w:r>
      <w:r w:rsidRPr="009E36C1">
        <w:rPr>
          <w:rStyle w:val="A3"/>
          <w:rFonts w:ascii="Arial" w:hAnsi="Arial" w:cs="Arial"/>
          <w:i/>
          <w:iCs/>
        </w:rPr>
        <w:t>benefits as a matter of right.</w:t>
      </w:r>
    </w:p>
    <w:p w14:paraId="37E786F5" w14:textId="77777777" w:rsidR="009E36C1" w:rsidRPr="009E36C1" w:rsidRDefault="009E36C1" w:rsidP="009E36C1">
      <w:pPr>
        <w:pStyle w:val="Default"/>
        <w:rPr>
          <w:rStyle w:val="A3"/>
          <w:rFonts w:ascii="Arial" w:hAnsi="Arial" w:cs="Arial"/>
          <w:i/>
          <w:iCs/>
        </w:rPr>
      </w:pPr>
    </w:p>
    <w:p w14:paraId="0668F4D9" w14:textId="77777777" w:rsidR="009E36C1" w:rsidRPr="009E36C1" w:rsidRDefault="009E36C1" w:rsidP="009E36C1">
      <w:pPr>
        <w:rPr>
          <w:b/>
          <w:bCs/>
        </w:rPr>
      </w:pPr>
      <w:r w:rsidRPr="009E36C1">
        <w:rPr>
          <w:b/>
          <w:bCs/>
        </w:rPr>
        <w:t xml:space="preserve">On-Menu Incentives </w:t>
      </w:r>
      <w:r w:rsidRPr="009E36C1">
        <w:t xml:space="preserve">are </w:t>
      </w:r>
      <w:r w:rsidRPr="009E36C1">
        <w:rPr>
          <w:color w:val="000000" w:themeColor="text1"/>
          <w:spacing w:val="8"/>
          <w:shd w:val="clear" w:color="auto" w:fill="FFFFFF"/>
        </w:rPr>
        <w:t>based on pre-calculated modifications in the City’s Density Bonus Ordinance.</w:t>
      </w:r>
    </w:p>
    <w:p w14:paraId="36661CBB" w14:textId="77777777" w:rsidR="009E36C1" w:rsidRPr="009E36C1" w:rsidRDefault="009E36C1" w:rsidP="009E36C1">
      <w:pPr>
        <w:pStyle w:val="Default"/>
        <w:rPr>
          <w:rStyle w:val="A3"/>
          <w:rFonts w:ascii="Arial" w:hAnsi="Arial" w:cs="Arial"/>
          <w:i/>
          <w:iCs/>
        </w:rPr>
      </w:pPr>
    </w:p>
    <w:p w14:paraId="24CEAFEF" w14:textId="27105C4D" w:rsidR="009E36C1" w:rsidRPr="009E36C1" w:rsidRDefault="009E36C1" w:rsidP="009E36C1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9E36C1">
        <w:rPr>
          <w:rStyle w:val="Strong"/>
          <w:rFonts w:ascii="Arial" w:hAnsi="Arial" w:cs="Arial"/>
          <w:color w:val="414042"/>
          <w:spacing w:val="8"/>
          <w:sz w:val="22"/>
          <w:szCs w:val="22"/>
          <w:shd w:val="clear" w:color="auto" w:fill="FFFFFF"/>
        </w:rPr>
        <w:t>Off Menu Incentives and Waivers of Development Standards</w:t>
      </w:r>
      <w:r w:rsidRPr="009E36C1">
        <w:rPr>
          <w:rStyle w:val="Strong"/>
          <w:rFonts w:ascii="Arial" w:hAnsi="Arial" w:cs="Arial"/>
          <w:color w:val="414042"/>
          <w:spacing w:val="8"/>
          <w:sz w:val="22"/>
          <w:szCs w:val="22"/>
          <w:shd w:val="clear" w:color="auto" w:fill="FFFFFF"/>
        </w:rPr>
        <w:t xml:space="preserve"> </w:t>
      </w:r>
      <w:r w:rsidRPr="009E36C1">
        <w:rPr>
          <w:rFonts w:ascii="Arial" w:hAnsi="Arial" w:cs="Arial"/>
          <w:color w:val="414042"/>
          <w:spacing w:val="8"/>
          <w:sz w:val="22"/>
          <w:szCs w:val="22"/>
          <w:shd w:val="clear" w:color="auto" w:fill="FFFFFF"/>
        </w:rPr>
        <w:t>extend beyond the incentives enumerated by State Density Bonus Law provided that applicants can demonstrate that their request is necessary to allow for the project's physical construction.</w:t>
      </w:r>
    </w:p>
    <w:p w14:paraId="58B188EF" w14:textId="77777777" w:rsidR="00157E6E" w:rsidRPr="00110D35" w:rsidRDefault="00157E6E" w:rsidP="00157E6E">
      <w:pPr>
        <w:rPr>
          <w:b/>
          <w:bCs/>
        </w:rPr>
      </w:pPr>
    </w:p>
    <w:p w14:paraId="2DDF2FE3" w14:textId="5CE09B5C" w:rsidR="00157E6E" w:rsidRPr="00110D35" w:rsidRDefault="00157E6E" w:rsidP="00157E6E">
      <w:pPr>
        <w:rPr>
          <w:b/>
          <w:bCs/>
        </w:rPr>
      </w:pPr>
      <w:r w:rsidRPr="00110D35">
        <w:rPr>
          <w:b/>
          <w:bCs/>
        </w:rPr>
        <w:t xml:space="preserve">- </w:t>
      </w:r>
      <w:r w:rsidRPr="00110D35">
        <w:rPr>
          <w:color w:val="000000" w:themeColor="text1"/>
          <w:spacing w:val="8"/>
          <w:shd w:val="clear" w:color="auto" w:fill="FFFFFF"/>
        </w:rPr>
        <w:t>These incentives apply to projects that seek a limited increase in allowed height, floor area, and lot coverage, along with reductions to yard/setback, open space, and lot width requirements.</w:t>
      </w:r>
    </w:p>
    <w:p w14:paraId="5903FEA1" w14:textId="48DD07B5" w:rsidR="00841008" w:rsidRPr="00110D35" w:rsidRDefault="00157E6E" w:rsidP="00841008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-</w:t>
      </w:r>
      <w:r w:rsidR="00841008" w:rsidRPr="00110D35">
        <w:rPr>
          <w:kern w:val="0"/>
        </w:rPr>
        <w:t>Density increase over the otherwise maximum allowable residential density under the applicable zoning ordinance and/or specific plan granted pursuant to this subdivision.</w:t>
      </w:r>
    </w:p>
    <w:p w14:paraId="50DEBF10" w14:textId="627D97FF" w:rsidR="00841008" w:rsidRPr="00110D35" w:rsidRDefault="00157E6E" w:rsidP="00841008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-</w:t>
      </w:r>
      <w:r w:rsidR="00841008" w:rsidRPr="00110D35">
        <w:rPr>
          <w:kern w:val="0"/>
        </w:rPr>
        <w:t>Applies to multi-family projects with 5 or more units or where the residential floor area (RFA) occupies at least 50% of total floor area of building.</w:t>
      </w:r>
    </w:p>
    <w:p w14:paraId="0A133F87" w14:textId="77777777" w:rsidR="00841008" w:rsidRPr="00110D35" w:rsidRDefault="00841008" w:rsidP="00841008">
      <w:pPr>
        <w:autoSpaceDE w:val="0"/>
        <w:autoSpaceDN w:val="0"/>
        <w:adjustRightInd w:val="0"/>
        <w:rPr>
          <w:kern w:val="0"/>
        </w:rPr>
      </w:pPr>
    </w:p>
    <w:p w14:paraId="5BE1FE75" w14:textId="605C7053" w:rsidR="00841008" w:rsidRPr="00110D35" w:rsidRDefault="0038260F" w:rsidP="00841008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 w:rsidRPr="00110D35">
        <w:rPr>
          <w:b/>
          <w:bCs/>
          <w:kern w:val="0"/>
          <w:u w:val="single"/>
        </w:rPr>
        <w:t xml:space="preserve">On-Menu </w:t>
      </w:r>
      <w:r w:rsidR="00841008" w:rsidRPr="00110D35">
        <w:rPr>
          <w:b/>
          <w:bCs/>
          <w:kern w:val="0"/>
          <w:u w:val="single"/>
        </w:rPr>
        <w:t>Density Bonus</w:t>
      </w:r>
    </w:p>
    <w:p w14:paraId="73F0F556" w14:textId="77777777" w:rsidR="00292DA5" w:rsidRPr="00110D35" w:rsidRDefault="00292DA5" w:rsidP="00841008">
      <w:pPr>
        <w:autoSpaceDE w:val="0"/>
        <w:autoSpaceDN w:val="0"/>
        <w:adjustRightInd w:val="0"/>
        <w:rPr>
          <w:b/>
          <w:bCs/>
          <w:kern w:val="0"/>
        </w:rPr>
      </w:pPr>
    </w:p>
    <w:p w14:paraId="09EF9E51" w14:textId="0A2E4A38" w:rsidR="00FC7786" w:rsidRPr="00FC7786" w:rsidRDefault="00841008" w:rsidP="00841008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Low or Very Low Income</w:t>
      </w:r>
      <w:r w:rsidR="00292DA5" w:rsidRPr="00110D35">
        <w:rPr>
          <w:b/>
          <w:bCs/>
          <w:kern w:val="0"/>
        </w:rPr>
        <w:t xml:space="preserve"> </w:t>
      </w:r>
      <w:r w:rsidRPr="00110D35">
        <w:rPr>
          <w:b/>
          <w:bCs/>
          <w:kern w:val="0"/>
        </w:rPr>
        <w:t>Restricted Affordable Units</w:t>
      </w:r>
      <w:r w:rsidR="00FC7786">
        <w:rPr>
          <w:b/>
          <w:bCs/>
          <w:kern w:val="0"/>
        </w:rPr>
        <w:t xml:space="preserve"> </w:t>
      </w:r>
      <w:r w:rsidR="00FC7786">
        <w:rPr>
          <w:kern w:val="0"/>
        </w:rPr>
        <w:t>(transitional foster youth, disabled veterans and homeless persons are included as Very Low Income persons):</w:t>
      </w:r>
    </w:p>
    <w:p w14:paraId="5220725B" w14:textId="78C712EB" w:rsidR="00292DA5" w:rsidRPr="00110D35" w:rsidRDefault="00292DA5" w:rsidP="00292DA5">
      <w:pPr>
        <w:autoSpaceDE w:val="0"/>
        <w:autoSpaceDN w:val="0"/>
        <w:adjustRightInd w:val="0"/>
        <w:jc w:val="both"/>
        <w:rPr>
          <w:b/>
          <w:bCs/>
          <w:kern w:val="0"/>
        </w:rPr>
      </w:pPr>
      <w:r w:rsidRPr="00110D35">
        <w:rPr>
          <w:kern w:val="0"/>
        </w:rPr>
        <w:t>Project</w:t>
      </w:r>
      <w:r w:rsidR="00841008" w:rsidRPr="00110D35">
        <w:rPr>
          <w:kern w:val="0"/>
        </w:rPr>
        <w:t xml:space="preserve"> that</w:t>
      </w:r>
      <w:r w:rsidRPr="00110D35">
        <w:rPr>
          <w:b/>
          <w:bCs/>
          <w:kern w:val="0"/>
        </w:rPr>
        <w:t xml:space="preserve"> </w:t>
      </w:r>
      <w:r w:rsidR="00841008" w:rsidRPr="00110D35">
        <w:rPr>
          <w:kern w:val="0"/>
        </w:rPr>
        <w:t>includes 10% of the total units of the project for Low Income households</w:t>
      </w:r>
      <w:r w:rsidRPr="00110D35">
        <w:rPr>
          <w:b/>
          <w:bCs/>
          <w:kern w:val="0"/>
        </w:rPr>
        <w:t xml:space="preserve"> </w:t>
      </w:r>
      <w:r w:rsidR="00841008" w:rsidRPr="00110D35">
        <w:rPr>
          <w:kern w:val="0"/>
        </w:rPr>
        <w:t>or 5% of the total units of the project for Very Low</w:t>
      </w:r>
      <w:r w:rsidR="00357633" w:rsidRPr="00110D35">
        <w:rPr>
          <w:kern w:val="0"/>
        </w:rPr>
        <w:t xml:space="preserve"> </w:t>
      </w:r>
      <w:r w:rsidR="00841008" w:rsidRPr="00110D35">
        <w:rPr>
          <w:kern w:val="0"/>
        </w:rPr>
        <w:t>Income</w:t>
      </w:r>
      <w:r w:rsidRPr="00110D35">
        <w:rPr>
          <w:kern w:val="0"/>
        </w:rPr>
        <w:t xml:space="preserve"> </w:t>
      </w:r>
      <w:r w:rsidR="00841008" w:rsidRPr="00110D35">
        <w:rPr>
          <w:kern w:val="0"/>
        </w:rPr>
        <w:t>households,</w:t>
      </w:r>
      <w:r w:rsidRPr="00110D35">
        <w:rPr>
          <w:b/>
          <w:bCs/>
          <w:kern w:val="0"/>
        </w:rPr>
        <w:t xml:space="preserve"> </w:t>
      </w:r>
      <w:r w:rsidR="00841008" w:rsidRPr="00110D35">
        <w:rPr>
          <w:kern w:val="0"/>
        </w:rPr>
        <w:t>either in rental units or for sale units, shall be granted a minimum Density</w:t>
      </w:r>
      <w:r w:rsidRPr="00110D35">
        <w:rPr>
          <w:b/>
          <w:bCs/>
          <w:kern w:val="0"/>
        </w:rPr>
        <w:t xml:space="preserve"> </w:t>
      </w:r>
      <w:r w:rsidR="00841008" w:rsidRPr="00110D35">
        <w:rPr>
          <w:kern w:val="0"/>
        </w:rPr>
        <w:t>Bonus of 20%</w:t>
      </w:r>
      <w:r w:rsidRPr="00110D35">
        <w:rPr>
          <w:kern w:val="0"/>
        </w:rPr>
        <w:t>. This increases by 1.5% for each add’l unit up to 35% for both income levels.</w:t>
      </w:r>
    </w:p>
    <w:p w14:paraId="5E8A71B0" w14:textId="77777777" w:rsidR="00292DA5" w:rsidRPr="00110D35" w:rsidRDefault="00292DA5" w:rsidP="00292DA5">
      <w:pPr>
        <w:autoSpaceDE w:val="0"/>
        <w:autoSpaceDN w:val="0"/>
        <w:adjustRightInd w:val="0"/>
        <w:jc w:val="both"/>
        <w:rPr>
          <w:kern w:val="0"/>
        </w:rPr>
      </w:pPr>
    </w:p>
    <w:p w14:paraId="7E8E76A3" w14:textId="63C1EA19" w:rsidR="00292DA5" w:rsidRPr="00110D35" w:rsidRDefault="00292DA5" w:rsidP="00292DA5">
      <w:pPr>
        <w:autoSpaceDE w:val="0"/>
        <w:autoSpaceDN w:val="0"/>
        <w:adjustRightInd w:val="0"/>
        <w:rPr>
          <w:b/>
          <w:bCs/>
          <w:kern w:val="0"/>
        </w:rPr>
      </w:pPr>
      <w:r w:rsidRPr="00110D35">
        <w:rPr>
          <w:b/>
          <w:bCs/>
          <w:kern w:val="0"/>
        </w:rPr>
        <w:t>Moderate Income Restricted</w:t>
      </w:r>
      <w:r w:rsidRPr="00110D35">
        <w:rPr>
          <w:b/>
          <w:bCs/>
          <w:kern w:val="0"/>
        </w:rPr>
        <w:t xml:space="preserve"> </w:t>
      </w:r>
      <w:r w:rsidRPr="00110D35">
        <w:rPr>
          <w:b/>
          <w:bCs/>
          <w:kern w:val="0"/>
        </w:rPr>
        <w:t>Affordable Units</w:t>
      </w:r>
      <w:r w:rsidRPr="00110D35">
        <w:rPr>
          <w:b/>
          <w:bCs/>
          <w:kern w:val="0"/>
        </w:rPr>
        <w:t xml:space="preserve">: </w:t>
      </w:r>
    </w:p>
    <w:p w14:paraId="3469C6C2" w14:textId="44C3DDD0" w:rsidR="00292DA5" w:rsidRPr="00110D35" w:rsidRDefault="00292DA5" w:rsidP="00292DA5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Project that includes</w:t>
      </w:r>
      <w:r w:rsidRPr="00110D35">
        <w:rPr>
          <w:kern w:val="0"/>
        </w:rPr>
        <w:t xml:space="preserve"> </w:t>
      </w:r>
      <w:r w:rsidRPr="00110D35">
        <w:rPr>
          <w:kern w:val="0"/>
        </w:rPr>
        <w:t>at least 10% of its units for Moderate Income households shall be granted</w:t>
      </w:r>
      <w:r w:rsidRPr="00110D35">
        <w:rPr>
          <w:kern w:val="0"/>
        </w:rPr>
        <w:t xml:space="preserve"> </w:t>
      </w:r>
      <w:r w:rsidRPr="00110D35">
        <w:rPr>
          <w:kern w:val="0"/>
        </w:rPr>
        <w:t>a minimum Density Bonus of 15%</w:t>
      </w:r>
      <w:r w:rsidRPr="00110D35">
        <w:rPr>
          <w:kern w:val="0"/>
        </w:rPr>
        <w:t xml:space="preserve"> with increases of 1% up to 35% for each add’l unit.</w:t>
      </w:r>
    </w:p>
    <w:p w14:paraId="41274F06" w14:textId="77777777" w:rsidR="00163D81" w:rsidRPr="00110D35" w:rsidRDefault="00163D81" w:rsidP="00292DA5">
      <w:pPr>
        <w:autoSpaceDE w:val="0"/>
        <w:autoSpaceDN w:val="0"/>
        <w:adjustRightInd w:val="0"/>
        <w:rPr>
          <w:kern w:val="0"/>
        </w:rPr>
      </w:pPr>
    </w:p>
    <w:p w14:paraId="58300C03" w14:textId="6D8143B2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Project that involves the conversion of</w:t>
      </w:r>
      <w:r w:rsidRPr="00110D35">
        <w:rPr>
          <w:kern w:val="0"/>
        </w:rPr>
        <w:t xml:space="preserve"> </w:t>
      </w:r>
      <w:r w:rsidRPr="00110D35">
        <w:rPr>
          <w:i/>
          <w:iCs/>
          <w:kern w:val="0"/>
        </w:rPr>
        <w:t>apartments</w:t>
      </w:r>
      <w:r w:rsidRPr="00110D35">
        <w:rPr>
          <w:kern w:val="0"/>
        </w:rPr>
        <w:t xml:space="preserve"> into </w:t>
      </w:r>
      <w:r w:rsidRPr="00110D35">
        <w:rPr>
          <w:i/>
          <w:iCs/>
          <w:kern w:val="0"/>
        </w:rPr>
        <w:t>condominiums</w:t>
      </w:r>
      <w:r w:rsidRPr="00110D35">
        <w:rPr>
          <w:kern w:val="0"/>
        </w:rPr>
        <w:t xml:space="preserve"> and that includes 33 percent of its units</w:t>
      </w:r>
      <w:r w:rsidRPr="00110D35">
        <w:rPr>
          <w:kern w:val="0"/>
        </w:rPr>
        <w:t xml:space="preserve"> </w:t>
      </w:r>
      <w:r w:rsidRPr="00110D35">
        <w:rPr>
          <w:kern w:val="0"/>
        </w:rPr>
        <w:t>restricted to households of Low or Moderate income or 15 percent of its</w:t>
      </w:r>
    </w:p>
    <w:p w14:paraId="3B9325D1" w14:textId="10FBE2AF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units restricted to households of Very Low Income shall be granted a</w:t>
      </w:r>
      <w:r w:rsidRPr="00110D35">
        <w:rPr>
          <w:kern w:val="0"/>
        </w:rPr>
        <w:t xml:space="preserve"> </w:t>
      </w:r>
      <w:r w:rsidRPr="00110D35">
        <w:rPr>
          <w:kern w:val="0"/>
        </w:rPr>
        <w:t>Density Bonus of 25 percent or up to three</w:t>
      </w:r>
      <w:r w:rsidR="007D4646" w:rsidRPr="00110D35">
        <w:rPr>
          <w:kern w:val="0"/>
        </w:rPr>
        <w:t xml:space="preserve"> incentives.</w:t>
      </w:r>
    </w:p>
    <w:p w14:paraId="28CE7198" w14:textId="77777777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</w:p>
    <w:p w14:paraId="1C7E10D2" w14:textId="3C95074E" w:rsidR="007D4646" w:rsidRPr="00110D35" w:rsidRDefault="007D4646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 w:rsidRPr="00110D35">
        <w:rPr>
          <w:b/>
          <w:bCs/>
          <w:kern w:val="0"/>
          <w:u w:val="single"/>
        </w:rPr>
        <w:t>Incentives</w:t>
      </w:r>
    </w:p>
    <w:p w14:paraId="294D4BDB" w14:textId="77777777" w:rsidR="00163D81" w:rsidRPr="00110D35" w:rsidRDefault="00163D81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34A2C28C" w14:textId="71AABD1E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Yard/Setback</w:t>
      </w:r>
      <w:r w:rsidRPr="00110D35">
        <w:rPr>
          <w:kern w:val="0"/>
        </w:rPr>
        <w:t xml:space="preserve"> – up to 20% decrease</w:t>
      </w:r>
    </w:p>
    <w:p w14:paraId="54CCAE02" w14:textId="43065E66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 xml:space="preserve">Lot Coverage – </w:t>
      </w:r>
      <w:r w:rsidRPr="00110D35">
        <w:rPr>
          <w:kern w:val="0"/>
        </w:rPr>
        <w:t>up to 20% decrease</w:t>
      </w:r>
    </w:p>
    <w:p w14:paraId="13C2CE6E" w14:textId="0C97DC61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Lot Width</w:t>
      </w:r>
      <w:r w:rsidRPr="00110D35">
        <w:rPr>
          <w:kern w:val="0"/>
        </w:rPr>
        <w:t xml:space="preserve"> – up to 20% decrease</w:t>
      </w:r>
    </w:p>
    <w:p w14:paraId="22E1EE90" w14:textId="6F0B51EF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Floor Area Ratio (FAR)</w:t>
      </w:r>
      <w:r w:rsidRPr="00110D35">
        <w:rPr>
          <w:kern w:val="0"/>
        </w:rPr>
        <w:t xml:space="preserve"> – not to exceed 35% or 3:1</w:t>
      </w:r>
    </w:p>
    <w:p w14:paraId="30241678" w14:textId="418BD1C4" w:rsidR="00163D81" w:rsidRPr="00110D35" w:rsidRDefault="00163D81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Height</w:t>
      </w:r>
      <w:r w:rsidRPr="00110D35">
        <w:rPr>
          <w:kern w:val="0"/>
        </w:rPr>
        <w:t xml:space="preserve"> – maximum of one story</w:t>
      </w:r>
      <w:r w:rsidR="007D4646" w:rsidRPr="00110D35">
        <w:rPr>
          <w:kern w:val="0"/>
        </w:rPr>
        <w:t xml:space="preserve"> or 11’ (for each add’l foot +add horizontal setback of 1’)</w:t>
      </w:r>
    </w:p>
    <w:p w14:paraId="5CEF45AB" w14:textId="3757F6A7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Open Space</w:t>
      </w:r>
      <w:r w:rsidRPr="00110D35">
        <w:rPr>
          <w:kern w:val="0"/>
        </w:rPr>
        <w:t xml:space="preserve"> – up to 20% decrease</w:t>
      </w:r>
    </w:p>
    <w:p w14:paraId="076620AB" w14:textId="45A9E2A5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Density Calculation</w:t>
      </w:r>
      <w:r w:rsidRPr="00110D35">
        <w:rPr>
          <w:kern w:val="0"/>
        </w:rPr>
        <w:t xml:space="preserve"> – alley or dedicated street included in lot area</w:t>
      </w:r>
    </w:p>
    <w:p w14:paraId="4A524722" w14:textId="64716779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</w:rPr>
        <w:t>Averaging FAR, Density, Parking or Open Space</w:t>
      </w:r>
      <w:r w:rsidRPr="00110D35">
        <w:rPr>
          <w:kern w:val="0"/>
        </w:rPr>
        <w:t xml:space="preserve"> – if located on 2 or more contiguous parcels the total FAR can be used</w:t>
      </w:r>
    </w:p>
    <w:p w14:paraId="68032CE1" w14:textId="77777777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</w:p>
    <w:p w14:paraId="290DBFF8" w14:textId="48E28FE1" w:rsidR="00357633" w:rsidRPr="00110D35" w:rsidRDefault="007D4646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  <w:u w:val="single"/>
        </w:rPr>
        <w:t># Incentives</w:t>
      </w:r>
      <w:r w:rsidR="00357633" w:rsidRPr="00110D35">
        <w:rPr>
          <w:kern w:val="0"/>
        </w:rPr>
        <w:tab/>
        <w:t xml:space="preserve">    % units for </w:t>
      </w:r>
      <w:r w:rsidR="00357633" w:rsidRPr="00110D35">
        <w:rPr>
          <w:kern w:val="0"/>
        </w:rPr>
        <w:tab/>
      </w:r>
      <w:r w:rsidR="00357633" w:rsidRPr="00110D35">
        <w:rPr>
          <w:kern w:val="0"/>
        </w:rPr>
        <w:tab/>
        <w:t>% units for</w:t>
      </w:r>
      <w:r w:rsidR="00357633" w:rsidRPr="00110D35">
        <w:rPr>
          <w:kern w:val="0"/>
        </w:rPr>
        <w:tab/>
        <w:t xml:space="preserve">     % units for </w:t>
      </w:r>
    </w:p>
    <w:p w14:paraId="3DB7D3F8" w14:textId="2AFC0FC3" w:rsidR="007D4646" w:rsidRPr="00110D35" w:rsidRDefault="007D4646" w:rsidP="00357633">
      <w:pPr>
        <w:autoSpaceDE w:val="0"/>
        <w:autoSpaceDN w:val="0"/>
        <w:adjustRightInd w:val="0"/>
        <w:ind w:left="720" w:firstLine="720"/>
        <w:rPr>
          <w:kern w:val="0"/>
        </w:rPr>
      </w:pPr>
      <w:r w:rsidRPr="00110D35">
        <w:rPr>
          <w:kern w:val="0"/>
          <w:u w:val="single"/>
        </w:rPr>
        <w:t>very low income</w:t>
      </w:r>
      <w:r w:rsidRPr="00110D35">
        <w:rPr>
          <w:kern w:val="0"/>
        </w:rPr>
        <w:tab/>
      </w:r>
      <w:r w:rsidRPr="00110D35">
        <w:rPr>
          <w:kern w:val="0"/>
          <w:u w:val="single"/>
        </w:rPr>
        <w:t>low income</w:t>
      </w:r>
      <w:r w:rsidRPr="00110D35">
        <w:rPr>
          <w:kern w:val="0"/>
        </w:rPr>
        <w:tab/>
      </w:r>
      <w:r w:rsidRPr="00110D35">
        <w:rPr>
          <w:kern w:val="0"/>
          <w:u w:val="single"/>
        </w:rPr>
        <w:t>mod</w:t>
      </w:r>
      <w:r w:rsidR="00357633" w:rsidRPr="00110D35">
        <w:rPr>
          <w:kern w:val="0"/>
          <w:u w:val="single"/>
        </w:rPr>
        <w:t>erate</w:t>
      </w:r>
      <w:r w:rsidRPr="00110D35">
        <w:rPr>
          <w:kern w:val="0"/>
          <w:u w:val="single"/>
        </w:rPr>
        <w:t xml:space="preserve"> inco</w:t>
      </w:r>
      <w:r w:rsidR="00357633" w:rsidRPr="00110D35">
        <w:rPr>
          <w:kern w:val="0"/>
          <w:u w:val="single"/>
        </w:rPr>
        <w:t xml:space="preserve">me (for sale </w:t>
      </w:r>
      <w:r w:rsidR="0080551D" w:rsidRPr="00110D35">
        <w:rPr>
          <w:kern w:val="0"/>
          <w:u w:val="single"/>
        </w:rPr>
        <w:t>only</w:t>
      </w:r>
      <w:r w:rsidR="00357633" w:rsidRPr="00110D35">
        <w:rPr>
          <w:kern w:val="0"/>
          <w:u w:val="single"/>
        </w:rPr>
        <w:t>)</w:t>
      </w:r>
    </w:p>
    <w:p w14:paraId="448DE6F8" w14:textId="77777777" w:rsidR="00357633" w:rsidRPr="00110D35" w:rsidRDefault="00357633" w:rsidP="00163D81">
      <w:pPr>
        <w:autoSpaceDE w:val="0"/>
        <w:autoSpaceDN w:val="0"/>
        <w:adjustRightInd w:val="0"/>
        <w:rPr>
          <w:kern w:val="0"/>
        </w:rPr>
      </w:pPr>
    </w:p>
    <w:p w14:paraId="18F41046" w14:textId="742BD04A" w:rsidR="00357633" w:rsidRPr="00110D35" w:rsidRDefault="00357633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ab/>
        <w:t>1</w:t>
      </w:r>
      <w:r w:rsidRPr="00110D35">
        <w:rPr>
          <w:kern w:val="0"/>
        </w:rPr>
        <w:tab/>
      </w:r>
      <w:r w:rsidRPr="00110D35">
        <w:rPr>
          <w:kern w:val="0"/>
        </w:rPr>
        <w:tab/>
        <w:t>5%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10%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>10%</w:t>
      </w:r>
    </w:p>
    <w:p w14:paraId="11906462" w14:textId="2C2BA435" w:rsidR="00357633" w:rsidRPr="00110D35" w:rsidRDefault="00357633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ab/>
        <w:t>2</w:t>
      </w:r>
      <w:r w:rsidRPr="00110D35">
        <w:rPr>
          <w:kern w:val="0"/>
        </w:rPr>
        <w:tab/>
      </w:r>
      <w:r w:rsidRPr="00110D35">
        <w:rPr>
          <w:kern w:val="0"/>
        </w:rPr>
        <w:tab/>
        <w:t>10%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20%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>20%</w:t>
      </w:r>
    </w:p>
    <w:p w14:paraId="05C97345" w14:textId="2D526751" w:rsidR="00357633" w:rsidRDefault="00357633" w:rsidP="00163D81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ab/>
        <w:t>3</w:t>
      </w:r>
      <w:r w:rsidRPr="00110D35">
        <w:rPr>
          <w:kern w:val="0"/>
        </w:rPr>
        <w:tab/>
      </w:r>
      <w:r w:rsidRPr="00110D35">
        <w:rPr>
          <w:kern w:val="0"/>
        </w:rPr>
        <w:tab/>
        <w:t>15%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30%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>30%</w:t>
      </w:r>
    </w:p>
    <w:p w14:paraId="22E4AA18" w14:textId="71E0A149" w:rsidR="0080551D" w:rsidRDefault="0080551D" w:rsidP="0080551D">
      <w:pPr>
        <w:pStyle w:val="Pa4"/>
      </w:pPr>
      <w:r>
        <w:tab/>
      </w:r>
    </w:p>
    <w:p w14:paraId="5D3F0B79" w14:textId="38E28F95" w:rsidR="0080551D" w:rsidRDefault="0080551D" w:rsidP="0080551D">
      <w:pPr>
        <w:pStyle w:val="Pa4"/>
        <w:ind w:firstLine="720"/>
        <w:rPr>
          <w:rFonts w:cs="BentonSans Book"/>
          <w:color w:val="000000"/>
          <w:sz w:val="22"/>
          <w:szCs w:val="22"/>
        </w:rPr>
      </w:pPr>
      <w:r>
        <w:t>4 – for all income levels:</w:t>
      </w:r>
      <w:r>
        <w:tab/>
      </w:r>
      <w:r>
        <w:rPr>
          <w:rStyle w:val="A3"/>
        </w:rPr>
        <w:t>100% Low/Very Low</w:t>
      </w:r>
      <w:r>
        <w:rPr>
          <w:rStyle w:val="A3"/>
        </w:rPr>
        <w:t xml:space="preserve">/Mod </w:t>
      </w:r>
      <w:r>
        <w:rPr>
          <w:rStyle w:val="A3"/>
        </w:rPr>
        <w:t>(20% Moderate allowed)</w:t>
      </w:r>
    </w:p>
    <w:p w14:paraId="7E8E810D" w14:textId="2C0AD53C" w:rsidR="0080551D" w:rsidRPr="00110D35" w:rsidRDefault="0080551D" w:rsidP="00163D81">
      <w:pPr>
        <w:autoSpaceDE w:val="0"/>
        <w:autoSpaceDN w:val="0"/>
        <w:adjustRightInd w:val="0"/>
        <w:rPr>
          <w:kern w:val="0"/>
        </w:rPr>
      </w:pPr>
    </w:p>
    <w:p w14:paraId="7B8E62A0" w14:textId="77777777" w:rsidR="007D4646" w:rsidRPr="00110D35" w:rsidRDefault="007D4646" w:rsidP="00163D81">
      <w:pPr>
        <w:autoSpaceDE w:val="0"/>
        <w:autoSpaceDN w:val="0"/>
        <w:adjustRightInd w:val="0"/>
        <w:rPr>
          <w:kern w:val="0"/>
        </w:rPr>
      </w:pPr>
    </w:p>
    <w:p w14:paraId="31DAC282" w14:textId="681234F2" w:rsidR="007D4646" w:rsidRPr="00110D35" w:rsidRDefault="007D4646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 w:rsidRPr="00110D35">
        <w:rPr>
          <w:b/>
          <w:bCs/>
          <w:kern w:val="0"/>
          <w:u w:val="single"/>
        </w:rPr>
        <w:t>Parking</w:t>
      </w:r>
    </w:p>
    <w:p w14:paraId="1BC047E2" w14:textId="77777777" w:rsidR="00B471A5" w:rsidRDefault="00B471A5" w:rsidP="00B471A5">
      <w:pPr>
        <w:autoSpaceDE w:val="0"/>
        <w:autoSpaceDN w:val="0"/>
        <w:adjustRightInd w:val="0"/>
        <w:rPr>
          <w:kern w:val="0"/>
        </w:rPr>
      </w:pPr>
    </w:p>
    <w:p w14:paraId="13AAA048" w14:textId="3A92662B" w:rsidR="00110D35" w:rsidRDefault="00B471A5" w:rsidP="00357633">
      <w:pPr>
        <w:autoSpaceDE w:val="0"/>
        <w:autoSpaceDN w:val="0"/>
        <w:adjustRightInd w:val="0"/>
        <w:rPr>
          <w:kern w:val="0"/>
        </w:rPr>
      </w:pPr>
      <w:r w:rsidRPr="00110D35">
        <w:rPr>
          <w:kern w:val="0"/>
        </w:rPr>
        <w:t>Req’d parking for all residential units in the Project (not just the restricted units) shall be reduced to the following requirements:</w:t>
      </w:r>
    </w:p>
    <w:p w14:paraId="2B3EDC7A" w14:textId="77777777" w:rsidR="00B471A5" w:rsidRDefault="00B471A5" w:rsidP="00B471A5">
      <w:pPr>
        <w:pStyle w:val="Default"/>
      </w:pPr>
    </w:p>
    <w:tbl>
      <w:tblPr>
        <w:tblW w:w="0" w:type="auto"/>
        <w:tblInd w:w="134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420"/>
      </w:tblGrid>
      <w:tr w:rsidR="00B471A5" w14:paraId="7ABDDC60" w14:textId="77777777" w:rsidTr="00B471A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59CF12A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Studio</w:t>
            </w:r>
          </w:p>
        </w:tc>
        <w:tc>
          <w:tcPr>
            <w:tcW w:w="2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0DC9E9E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1 space</w:t>
            </w:r>
          </w:p>
        </w:tc>
      </w:tr>
      <w:tr w:rsidR="00B471A5" w14:paraId="1C71E80B" w14:textId="77777777" w:rsidTr="00B471A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BC4BEE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1 Bedroom</w:t>
            </w:r>
          </w:p>
        </w:tc>
        <w:tc>
          <w:tcPr>
            <w:tcW w:w="2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B9C972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1 space</w:t>
            </w:r>
          </w:p>
        </w:tc>
      </w:tr>
      <w:tr w:rsidR="00B471A5" w14:paraId="2F35B7D2" w14:textId="77777777" w:rsidTr="00B471A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DFA85D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2 Bedroom</w:t>
            </w:r>
          </w:p>
        </w:tc>
        <w:tc>
          <w:tcPr>
            <w:tcW w:w="2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4AE4BC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1.5 spaces</w:t>
            </w:r>
          </w:p>
        </w:tc>
      </w:tr>
      <w:tr w:rsidR="00B471A5" w14:paraId="5CF7596A" w14:textId="77777777" w:rsidTr="00B471A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D9BD9E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3 Bedroom</w:t>
            </w:r>
          </w:p>
        </w:tc>
        <w:tc>
          <w:tcPr>
            <w:tcW w:w="2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E4C376E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1.5 spaces</w:t>
            </w:r>
          </w:p>
        </w:tc>
      </w:tr>
      <w:tr w:rsidR="00B471A5" w14:paraId="0E60FEED" w14:textId="77777777" w:rsidTr="00B471A5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242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82E2B46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4 Bedroom</w:t>
            </w:r>
          </w:p>
        </w:tc>
        <w:tc>
          <w:tcPr>
            <w:tcW w:w="242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E3EE842" w14:textId="77777777" w:rsidR="00B471A5" w:rsidRDefault="00B471A5">
            <w:pPr>
              <w:pStyle w:val="Pa4"/>
              <w:jc w:val="center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2.5 spaces</w:t>
            </w:r>
          </w:p>
        </w:tc>
      </w:tr>
    </w:tbl>
    <w:p w14:paraId="7B7E5A97" w14:textId="77777777" w:rsidR="00B471A5" w:rsidRDefault="00B471A5" w:rsidP="00357633">
      <w:pPr>
        <w:autoSpaceDE w:val="0"/>
        <w:autoSpaceDN w:val="0"/>
        <w:adjustRightInd w:val="0"/>
        <w:rPr>
          <w:kern w:val="0"/>
        </w:rPr>
      </w:pPr>
    </w:p>
    <w:p w14:paraId="30C44777" w14:textId="41D07A02" w:rsidR="00B471A5" w:rsidRPr="00B471A5" w:rsidRDefault="00B471A5" w:rsidP="00B471A5">
      <w:pPr>
        <w:pStyle w:val="Default"/>
        <w:jc w:val="center"/>
        <w:rPr>
          <w:b/>
          <w:bCs/>
        </w:rPr>
      </w:pPr>
      <w:r>
        <w:rPr>
          <w:b/>
          <w:bCs/>
        </w:rPr>
        <w:t>OR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3"/>
        <w:gridCol w:w="5213"/>
      </w:tblGrid>
      <w:tr w:rsidR="00B471A5" w14:paraId="7D665216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1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F67293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Rental/for sale projects with at least 11% very low income or 20% lower income units, within 1/2 mile of accessible major transit stop</w:t>
            </w:r>
          </w:p>
        </w:tc>
        <w:tc>
          <w:tcPr>
            <w:tcW w:w="521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D966325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0.5 spaces per unit</w:t>
            </w:r>
          </w:p>
        </w:tc>
      </w:tr>
      <w:tr w:rsidR="00B471A5" w14:paraId="70186D2B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1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968196A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Rental projects 100% affordable to lower income, within 1/2 mile of accessible major transit stop</w:t>
            </w:r>
          </w:p>
        </w:tc>
        <w:tc>
          <w:tcPr>
            <w:tcW w:w="521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9A3E86E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0 spaces per unit</w:t>
            </w:r>
          </w:p>
        </w:tc>
      </w:tr>
      <w:tr w:rsidR="00B471A5" w14:paraId="117304F5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21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210713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Rental senior projects 100% affordable to lower income, either with paratransit service or within 1/2-half mile of accessible bus route (operating at least eight times per day)</w:t>
            </w:r>
          </w:p>
        </w:tc>
        <w:tc>
          <w:tcPr>
            <w:tcW w:w="521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1958DE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0 spaces per unit</w:t>
            </w:r>
          </w:p>
        </w:tc>
      </w:tr>
      <w:tr w:rsidR="00B471A5" w14:paraId="78440497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21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91E959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Rental special needs projects 100% affordable to lower income households, either with paratransit service or within 1/2-half mile of accessible bus route (operating at least eight times per day)</w:t>
            </w:r>
          </w:p>
        </w:tc>
        <w:tc>
          <w:tcPr>
            <w:tcW w:w="521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B1B39A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0 spaces per unit</w:t>
            </w:r>
          </w:p>
        </w:tc>
      </w:tr>
      <w:tr w:rsidR="00B471A5" w14:paraId="08DED9F7" w14:textId="77777777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21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71198D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Rental supportive housing developments 100% affordable to lower income households</w:t>
            </w:r>
          </w:p>
        </w:tc>
        <w:tc>
          <w:tcPr>
            <w:tcW w:w="521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EE2A6F" w14:textId="77777777" w:rsidR="00B471A5" w:rsidRDefault="00B471A5">
            <w:pPr>
              <w:pStyle w:val="Pa0"/>
              <w:rPr>
                <w:rFonts w:cs="BentonSans Book"/>
                <w:color w:val="000000"/>
                <w:sz w:val="22"/>
                <w:szCs w:val="22"/>
              </w:rPr>
            </w:pPr>
            <w:r>
              <w:rPr>
                <w:rStyle w:val="A3"/>
              </w:rPr>
              <w:t>0 spaces per unit</w:t>
            </w:r>
          </w:p>
        </w:tc>
      </w:tr>
    </w:tbl>
    <w:p w14:paraId="32C31C76" w14:textId="230397FE" w:rsidR="0038260F" w:rsidRPr="00110D35" w:rsidRDefault="0038260F" w:rsidP="0038260F">
      <w:pPr>
        <w:autoSpaceDE w:val="0"/>
        <w:autoSpaceDN w:val="0"/>
        <w:adjustRightInd w:val="0"/>
        <w:rPr>
          <w:i/>
          <w:iCs/>
          <w:kern w:val="0"/>
        </w:rPr>
      </w:pPr>
      <w:r w:rsidRPr="00110D35">
        <w:rPr>
          <w:i/>
          <w:iCs/>
          <w:kern w:val="0"/>
        </w:rPr>
        <w:t>Note: Parking spaces are uncoupled from units, meaning that parking space(s) can be sold/rented separately from dwelling units, so buyers or renter can buy/rent with or without a parking space</w:t>
      </w:r>
      <w:r w:rsidR="00157E6E" w:rsidRPr="00110D35">
        <w:rPr>
          <w:i/>
          <w:iCs/>
          <w:kern w:val="0"/>
        </w:rPr>
        <w:t>.</w:t>
      </w:r>
    </w:p>
    <w:p w14:paraId="57EC42F7" w14:textId="77777777" w:rsidR="00157E6E" w:rsidRPr="00110D35" w:rsidRDefault="00157E6E" w:rsidP="0038260F">
      <w:pPr>
        <w:autoSpaceDE w:val="0"/>
        <w:autoSpaceDN w:val="0"/>
        <w:adjustRightInd w:val="0"/>
        <w:rPr>
          <w:i/>
          <w:iCs/>
          <w:kern w:val="0"/>
        </w:rPr>
      </w:pPr>
    </w:p>
    <w:p w14:paraId="6C0C9AAB" w14:textId="77777777" w:rsidR="00B471A5" w:rsidRDefault="00B471A5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234356EB" w14:textId="77777777" w:rsidR="0080551D" w:rsidRDefault="0080551D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2C42D540" w14:textId="77777777" w:rsidR="0080551D" w:rsidRDefault="0080551D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481C8085" w14:textId="77777777" w:rsidR="0080551D" w:rsidRDefault="0080551D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48536DB3" w14:textId="1AFBC760" w:rsidR="007D4646" w:rsidRDefault="00157E6E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 w:rsidRPr="00110D35">
        <w:rPr>
          <w:b/>
          <w:bCs/>
          <w:kern w:val="0"/>
          <w:u w:val="single"/>
        </w:rPr>
        <w:t>Covenant</w:t>
      </w:r>
    </w:p>
    <w:p w14:paraId="3ABAEB75" w14:textId="77777777" w:rsidR="00B471A5" w:rsidRDefault="00B471A5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6C2F3222" w14:textId="69A3373D" w:rsidR="00110D35" w:rsidRDefault="00110D35" w:rsidP="00163D81">
      <w:pPr>
        <w:autoSpaceDE w:val="0"/>
        <w:autoSpaceDN w:val="0"/>
        <w:adjustRightInd w:val="0"/>
      </w:pPr>
      <w:r>
        <w:t xml:space="preserve">Under State Density Bonus Law, any affordable units required to be provided to qualify for a Density Bonus project are subject to a </w:t>
      </w:r>
      <w:r w:rsidRPr="00110D35">
        <w:rPr>
          <w:b/>
          <w:bCs/>
        </w:rPr>
        <w:t>55-year</w:t>
      </w:r>
      <w:r>
        <w:t xml:space="preserve"> affordability term.</w:t>
      </w:r>
    </w:p>
    <w:p w14:paraId="09B39BE1" w14:textId="77777777" w:rsidR="00110D35" w:rsidRDefault="00110D35" w:rsidP="00163D81">
      <w:pPr>
        <w:autoSpaceDE w:val="0"/>
        <w:autoSpaceDN w:val="0"/>
        <w:adjustRightInd w:val="0"/>
      </w:pPr>
    </w:p>
    <w:p w14:paraId="39D7B235" w14:textId="474A11EA" w:rsidR="00110D35" w:rsidRDefault="00110D35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  <w:r>
        <w:t>Upon resale, the unit will be subject to an equity sharing agreement, which provides that a share of the equity appreciation shall be provided either to the Qualified Nonprofit Housing Corporation, or to the City.</w:t>
      </w:r>
    </w:p>
    <w:p w14:paraId="4A3D30D4" w14:textId="77777777" w:rsidR="00110D35" w:rsidRDefault="00110D35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608E1683" w14:textId="77777777" w:rsidR="00110D35" w:rsidRPr="00110D35" w:rsidRDefault="00110D35" w:rsidP="00163D81">
      <w:pPr>
        <w:autoSpaceDE w:val="0"/>
        <w:autoSpaceDN w:val="0"/>
        <w:adjustRightInd w:val="0"/>
        <w:rPr>
          <w:b/>
          <w:bCs/>
          <w:kern w:val="0"/>
          <w:u w:val="single"/>
        </w:rPr>
      </w:pPr>
    </w:p>
    <w:p w14:paraId="3D36448F" w14:textId="41D000E6" w:rsidR="00841008" w:rsidRPr="00110D35" w:rsidRDefault="00841008" w:rsidP="00841008">
      <w:pPr>
        <w:autoSpaceDE w:val="0"/>
        <w:autoSpaceDN w:val="0"/>
        <w:adjustRightInd w:val="0"/>
        <w:rPr>
          <w:kern w:val="0"/>
        </w:rPr>
      </w:pPr>
      <w:r w:rsidRPr="00110D35">
        <w:rPr>
          <w:b/>
          <w:bCs/>
          <w:kern w:val="0"/>
          <w:u w:val="single"/>
        </w:rPr>
        <w:t>Income</w:t>
      </w:r>
      <w:r w:rsidRPr="00110D35">
        <w:rPr>
          <w:b/>
          <w:bCs/>
          <w:kern w:val="0"/>
          <w:u w:val="single"/>
        </w:rPr>
        <w:t xml:space="preserve"> Definitions</w:t>
      </w:r>
    </w:p>
    <w:p w14:paraId="308C75B5" w14:textId="77777777" w:rsidR="00841008" w:rsidRPr="00110D35" w:rsidRDefault="00841008" w:rsidP="00841008">
      <w:pPr>
        <w:autoSpaceDE w:val="0"/>
        <w:autoSpaceDN w:val="0"/>
        <w:adjustRightInd w:val="0"/>
        <w:rPr>
          <w:kern w:val="0"/>
        </w:rPr>
      </w:pPr>
    </w:p>
    <w:p w14:paraId="1CA19234" w14:textId="68A58DCA" w:rsidR="00841008" w:rsidRPr="00110D35" w:rsidRDefault="00841008" w:rsidP="00841008">
      <w:pPr>
        <w:autoSpaceDE w:val="0"/>
        <w:autoSpaceDN w:val="0"/>
        <w:adjustRightInd w:val="0"/>
        <w:rPr>
          <w:kern w:val="0"/>
          <w:u w:val="single"/>
        </w:rPr>
      </w:pPr>
      <w:r w:rsidRPr="00110D35">
        <w:rPr>
          <w:kern w:val="0"/>
          <w:u w:val="single"/>
        </w:rPr>
        <w:t>Number of Persons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  <w:u w:val="single"/>
        </w:rPr>
        <w:t>Extremely Low</w:t>
      </w:r>
      <w:r w:rsidRPr="00110D35">
        <w:rPr>
          <w:kern w:val="0"/>
        </w:rPr>
        <w:tab/>
      </w:r>
      <w:r w:rsidRPr="00110D35">
        <w:rPr>
          <w:kern w:val="0"/>
          <w:u w:val="single"/>
        </w:rPr>
        <w:t>Very Low</w:t>
      </w:r>
      <w:r w:rsidRPr="00110D35">
        <w:rPr>
          <w:kern w:val="0"/>
        </w:rPr>
        <w:tab/>
        <w:t xml:space="preserve">   </w:t>
      </w:r>
      <w:r w:rsidRPr="00110D35">
        <w:rPr>
          <w:kern w:val="0"/>
          <w:u w:val="single"/>
        </w:rPr>
        <w:t>Low</w:t>
      </w:r>
    </w:p>
    <w:p w14:paraId="60E6BF11" w14:textId="4FADB06B" w:rsidR="00841008" w:rsidRPr="00110D35" w:rsidRDefault="00841008" w:rsidP="00841008">
      <w:pPr>
        <w:autoSpaceDE w:val="0"/>
        <w:autoSpaceDN w:val="0"/>
        <w:adjustRightInd w:val="0"/>
        <w:ind w:firstLine="720"/>
        <w:rPr>
          <w:kern w:val="0"/>
        </w:rPr>
      </w:pPr>
      <w:r w:rsidRPr="00110D35">
        <w:rPr>
          <w:kern w:val="0"/>
        </w:rPr>
        <w:t>1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$26,500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$44,150</w:t>
      </w:r>
      <w:r w:rsidRPr="00110D35">
        <w:rPr>
          <w:kern w:val="0"/>
        </w:rPr>
        <w:tab/>
        <w:t>$70,650</w:t>
      </w:r>
    </w:p>
    <w:p w14:paraId="12C90FEE" w14:textId="6A515394" w:rsidR="00841008" w:rsidRPr="00110D35" w:rsidRDefault="00841008" w:rsidP="00841008">
      <w:pPr>
        <w:autoSpaceDE w:val="0"/>
        <w:autoSpaceDN w:val="0"/>
        <w:adjustRightInd w:val="0"/>
        <w:ind w:firstLine="720"/>
        <w:rPr>
          <w:kern w:val="0"/>
        </w:rPr>
      </w:pPr>
      <w:r w:rsidRPr="00110D35">
        <w:rPr>
          <w:kern w:val="0"/>
        </w:rPr>
        <w:t>2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$30,300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$50,450</w:t>
      </w:r>
      <w:r w:rsidRPr="00110D35">
        <w:rPr>
          <w:kern w:val="0"/>
        </w:rPr>
        <w:tab/>
        <w:t>$80,750</w:t>
      </w:r>
    </w:p>
    <w:p w14:paraId="410F7447" w14:textId="417CD4C6" w:rsidR="00841008" w:rsidRPr="00110D35" w:rsidRDefault="00841008" w:rsidP="00841008">
      <w:pPr>
        <w:autoSpaceDE w:val="0"/>
        <w:autoSpaceDN w:val="0"/>
        <w:adjustRightInd w:val="0"/>
        <w:ind w:firstLine="720"/>
        <w:rPr>
          <w:kern w:val="0"/>
        </w:rPr>
      </w:pPr>
      <w:r w:rsidRPr="00110D35">
        <w:rPr>
          <w:kern w:val="0"/>
        </w:rPr>
        <w:t>3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$34,100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$56,750</w:t>
      </w:r>
      <w:r w:rsidRPr="00110D35">
        <w:rPr>
          <w:kern w:val="0"/>
        </w:rPr>
        <w:tab/>
        <w:t>$90,850</w:t>
      </w:r>
    </w:p>
    <w:p w14:paraId="4AACF0CB" w14:textId="3430B8EF" w:rsidR="00841008" w:rsidRPr="00110D35" w:rsidRDefault="00841008" w:rsidP="00841008">
      <w:pPr>
        <w:autoSpaceDE w:val="0"/>
        <w:autoSpaceDN w:val="0"/>
        <w:adjustRightInd w:val="0"/>
        <w:ind w:firstLine="720"/>
        <w:rPr>
          <w:kern w:val="0"/>
        </w:rPr>
      </w:pPr>
      <w:r w:rsidRPr="00110D35">
        <w:rPr>
          <w:kern w:val="0"/>
        </w:rPr>
        <w:t>4</w:t>
      </w:r>
      <w:r w:rsidRPr="00110D35">
        <w:rPr>
          <w:kern w:val="0"/>
        </w:rPr>
        <w:tab/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    $37,850</w:t>
      </w:r>
      <w:r w:rsidRPr="00110D35">
        <w:rPr>
          <w:kern w:val="0"/>
        </w:rPr>
        <w:tab/>
      </w:r>
      <w:r w:rsidRPr="00110D35">
        <w:rPr>
          <w:kern w:val="0"/>
        </w:rPr>
        <w:tab/>
        <w:t xml:space="preserve"> $63,050</w:t>
      </w:r>
      <w:r w:rsidRPr="00110D35">
        <w:rPr>
          <w:kern w:val="0"/>
        </w:rPr>
        <w:tab/>
        <w:t>$100,900</w:t>
      </w:r>
    </w:p>
    <w:p w14:paraId="7F818A36" w14:textId="13F944D3" w:rsidR="00841008" w:rsidRPr="00110D35" w:rsidRDefault="00841008" w:rsidP="00841008">
      <w:pPr>
        <w:autoSpaceDE w:val="0"/>
        <w:autoSpaceDN w:val="0"/>
        <w:adjustRightInd w:val="0"/>
        <w:rPr>
          <w:kern w:val="0"/>
        </w:rPr>
      </w:pPr>
    </w:p>
    <w:p w14:paraId="19A4580D" w14:textId="77777777" w:rsidR="00841008" w:rsidRPr="00157E6E" w:rsidRDefault="00841008"/>
    <w:sectPr w:rsidR="00841008" w:rsidRPr="0015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tonSans Book">
    <w:altName w:val="BentonSans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A722D"/>
    <w:multiLevelType w:val="hybridMultilevel"/>
    <w:tmpl w:val="DFC66902"/>
    <w:lvl w:ilvl="0" w:tplc="1A4C29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96098"/>
    <w:multiLevelType w:val="hybridMultilevel"/>
    <w:tmpl w:val="6E44AC8C"/>
    <w:lvl w:ilvl="0" w:tplc="60AE76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249635">
    <w:abstractNumId w:val="0"/>
  </w:num>
  <w:num w:numId="2" w16cid:durableId="209612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08"/>
    <w:rsid w:val="00110D35"/>
    <w:rsid w:val="00157E6E"/>
    <w:rsid w:val="00163D81"/>
    <w:rsid w:val="00292DA5"/>
    <w:rsid w:val="002B660F"/>
    <w:rsid w:val="00357633"/>
    <w:rsid w:val="0038260F"/>
    <w:rsid w:val="007D4646"/>
    <w:rsid w:val="0080551D"/>
    <w:rsid w:val="00841008"/>
    <w:rsid w:val="009527BF"/>
    <w:rsid w:val="009E36C1"/>
    <w:rsid w:val="00B471A5"/>
    <w:rsid w:val="00FC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3C523"/>
  <w15:chartTrackingRefBased/>
  <w15:docId w15:val="{653E69E9-CA02-499A-BC50-56F0CF62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008"/>
  </w:style>
  <w:style w:type="paragraph" w:styleId="Heading3">
    <w:name w:val="heading 3"/>
    <w:basedOn w:val="Normal"/>
    <w:link w:val="Heading3Char"/>
    <w:uiPriority w:val="9"/>
    <w:qFormat/>
    <w:rsid w:val="0084100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1008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410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1008"/>
    <w:rPr>
      <w:b/>
      <w:bCs/>
    </w:rPr>
  </w:style>
  <w:style w:type="paragraph" w:customStyle="1" w:styleId="text-align-center">
    <w:name w:val="text-align-center"/>
    <w:basedOn w:val="Normal"/>
    <w:rsid w:val="0084100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57E6E"/>
    <w:pPr>
      <w:ind w:left="720"/>
      <w:contextualSpacing/>
    </w:pPr>
  </w:style>
  <w:style w:type="paragraph" w:customStyle="1" w:styleId="Default">
    <w:name w:val="Default"/>
    <w:rsid w:val="009E36C1"/>
    <w:pPr>
      <w:autoSpaceDE w:val="0"/>
      <w:autoSpaceDN w:val="0"/>
      <w:adjustRightInd w:val="0"/>
    </w:pPr>
    <w:rPr>
      <w:rFonts w:ascii="BentonSans Book" w:hAnsi="BentonSans Book" w:cs="BentonSans Book"/>
      <w:color w:val="000000"/>
      <w:kern w:val="0"/>
      <w:sz w:val="24"/>
      <w:szCs w:val="24"/>
    </w:rPr>
  </w:style>
  <w:style w:type="character" w:customStyle="1" w:styleId="A3">
    <w:name w:val="A3"/>
    <w:uiPriority w:val="99"/>
    <w:rsid w:val="009E36C1"/>
    <w:rPr>
      <w:rFonts w:cs="BentonSans Book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B471A5"/>
    <w:pPr>
      <w:spacing w:line="241" w:lineRule="atLeast"/>
    </w:pPr>
    <w:rPr>
      <w:rFonts w:cs="Arial"/>
      <w:color w:val="auto"/>
    </w:rPr>
  </w:style>
  <w:style w:type="paragraph" w:customStyle="1" w:styleId="Pa0">
    <w:name w:val="Pa0"/>
    <w:basedOn w:val="Default"/>
    <w:next w:val="Default"/>
    <w:uiPriority w:val="99"/>
    <w:rsid w:val="00B471A5"/>
    <w:pPr>
      <w:spacing w:line="241" w:lineRule="atLeast"/>
    </w:pPr>
    <w:rPr>
      <w:rFonts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Weiss</dc:creator>
  <cp:keywords/>
  <dc:description/>
  <cp:lastModifiedBy>Barry Weiss</cp:lastModifiedBy>
  <cp:revision>1</cp:revision>
  <dcterms:created xsi:type="dcterms:W3CDTF">2024-04-03T22:33:00Z</dcterms:created>
  <dcterms:modified xsi:type="dcterms:W3CDTF">2024-04-04T21:48:00Z</dcterms:modified>
</cp:coreProperties>
</file>